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4723700 руб. (размер задолженности может уменьшаться в связи с частичным ее погашением должником), начальная цена 1800000.00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emHRPK62c04CQRCKlx/Y8TC0iqEAdV3ueQxQJVIqZzM=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50HAFr9vieh2+d5jnyf7FtG3nxsrVM39WSKkO8OXWD8=</DigestValue>
    </Reference>
  </SignedInfo>
  <SignatureValue>vX2KqIPDF5YVKATlQLf5fq9SmBk9Rkcv9CcP1U0QPPu83L6ryMCyl8NXaBVY7EdL
7T5nW9+pnNct/9aKuTYVOw==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yetA36etZMZ9xGIO+wA3lcyub1U=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2018-09-10T09:24:00Z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2018-09-10T09:24:00Z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