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 (фасад), 6 шт.; Угол д/подвесн. потолка (3м), 16 шт.; Угол наружный (фасад), 71 шт.; Угол наружный (фасад), 531 пог.м; Угол ПВХ, 9 шт.; Уголок наружный 125х125 (фасад), 31 шт.; Фасад аквилон 9003, 93 шт.; Фасад нащельник 1006, 17 шт.; Фасад нащельник 1013, 7 шт.; Фасад нащельник 1015, 9 шт.; Фасад спецПрофиль (отчсечка противопожарная), 9,6 пог.м; Фасад спецПрофиль (водоотлив) 1019, 12,5 пог.м; Фасад спецПрофиль (водоотлив) 9003, 256,54 пог.м; Фасад спецПрофиль (парапет )1006, 12,375 пог.м; Фасад спецПрофиль (парапет )1013, 3 пог.м; Фасад спецПрофиль (угол наружный) 1013, 22,955 пог.м; Фасад панель фасадная 1015, 51,84 м2; Фасад панель фасадная 2004, 184,16 м2; Фасад панель фасадная 3015, 95,98 м2; Фасад планка откосная 1006, 3 шт.; Фасад планка откосная 1019, 3 шт.; Фасад планка откосная 9006, 7 шт.; Фасад спецПрофиль (парапет) 1019, 30 пог.м; Фасад угол внутренний 1015, 11 шт.; Фасад угол внутренний 1019, 18 шт.; Фасад угол наружный 2009, 55 шт.; Фасад угол наружный 1006, 3шт.; Фасад угол наружный 1013, 1 шт .; Фасад угол наружный 1015, 5 шт.; Фасад угол наружный 1019, 17 шт.; Фасад угол наружный 9006, 1 шт. - 344 430 р., начальная цена 344430.00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jeYOI3panUKmZ3ox4OK8aGz+/ih9jbAOYreaOM1GX/E=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houm0DafyesUNryhuD6RHCYK3vOo1LjVZFd9zN/LiTI=</DigestValue>
    </Reference>
  </SignedInfo>
  <SignatureValue>XFfd8hfg+92BRyaOcU/oRpJM7XrU6eDf6Ou968Uho0sg+IiIyx/7fvq8nRzA5ov+
tbe+ahtv7JTmueRxxjw+Xw==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/sSg72j0N2cS/11A7vJ1iWdtAS8=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2017-10-19T07:41:45Z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