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собственность (доля в праве 18/106). Право собственности зарегистрировано на основании -  договора купли-продажи доли в нежилом помещении от 15.05.2007 г.; договора купли-продажи доли в нежилом помещении от 26.07.2007 г.; соглашения о прекращении права долевой собственности от 11.01.2010 г.; решения Свердловского районного суда г. Красноярска от 30.01.2006 г., начальная цена 3643000.00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mSMsjsWMUia10ZN6LYioxXQh9Ni60zU6KpOee/TUVes=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KfgjBmHVNQZ4S6xpmyUqTdUsDeus8Yqui7hRlhS3iw/ZzvAeO/EoGQahhgUyzVh5FtkuLhjh
    UrecpD35s65pfA==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5MPkRvvjSdak2PC+W4JLJL4q8ps=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